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对企业的资产负债表进行分析时，如果应收账款规模发生变动，变动的原因有哪些？</w:t>
      </w:r>
    </w:p>
    <w:p>
      <w:pPr>
        <w:tabs>
          <w:tab w:val="left" w:pos="3916"/>
        </w:tabs>
        <w:spacing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影响净资产</w:t>
      </w:r>
      <w:r>
        <w:rPr>
          <w:rFonts w:hint="eastAsia" w:ascii="宋体" w:hAnsi="宋体"/>
          <w:color w:val="000000"/>
          <w:szCs w:val="21"/>
        </w:rPr>
        <w:t>收益率的因素主要有哪些？</w:t>
      </w:r>
    </w:p>
    <w:p>
      <w:pPr>
        <w:rPr>
          <w:rFonts w:hint="eastAsia" w:ascii="宋体" w:hAnsi="宋体"/>
          <w:color w:val="000000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41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2019-04-19T00:55:07Z</dcterms:created>
  <dc:creator>Administrator</dc:creator>
  <cp:lastModifiedBy>Administrator</cp:lastModifiedBy>
  <dcterms:modified xsi:type="dcterms:W3CDTF">2019-04-19T01:53:31Z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